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EABFE" w14:textId="77777777" w:rsidR="00D904CB" w:rsidRDefault="00D904CB" w:rsidP="0021658A">
      <w:pPr>
        <w:pStyle w:val="Authors"/>
        <w:framePr w:h="590" w:hRule="exact" w:wrap="notBeside" w:x="1478" w:y="1399"/>
      </w:pPr>
      <w:r>
        <w:t xml:space="preserve">Xiaobo Wang, </w:t>
      </w:r>
      <w:proofErr w:type="spellStart"/>
      <w:r>
        <w:t>Wentao</w:t>
      </w:r>
      <w:proofErr w:type="spellEnd"/>
      <w:r>
        <w:t xml:space="preserve"> Huang, </w:t>
      </w:r>
      <w:r>
        <w:rPr>
          <w:rFonts w:hint="eastAsia"/>
          <w:i/>
        </w:rPr>
        <w:t>Sen</w:t>
      </w:r>
      <w:r>
        <w:rPr>
          <w:i/>
        </w:rPr>
        <w:t>ior</w:t>
      </w:r>
      <w:r>
        <w:rPr>
          <w:lang w:eastAsia="zh-CN"/>
        </w:rPr>
        <w:t xml:space="preserve"> </w:t>
      </w:r>
      <w:r>
        <w:rPr>
          <w:i/>
        </w:rPr>
        <w:t>Member, IEEE</w:t>
      </w:r>
      <w:r>
        <w:t xml:space="preserve">, </w:t>
      </w:r>
      <w:proofErr w:type="spellStart"/>
      <w:r>
        <w:t>Nengling</w:t>
      </w:r>
      <w:proofErr w:type="spellEnd"/>
      <w:r>
        <w:t xml:space="preserve"> Tai, </w:t>
      </w:r>
      <w:r>
        <w:rPr>
          <w:rStyle w:val="MemberType"/>
        </w:rPr>
        <w:t>Member, IEEE,</w:t>
      </w:r>
      <w:r>
        <w:rPr>
          <w:i/>
        </w:rPr>
        <w:t xml:space="preserve"> </w:t>
      </w:r>
      <w:r>
        <w:t xml:space="preserve">Mohammad Shahidehpour, </w:t>
      </w:r>
      <w:r>
        <w:rPr>
          <w:rFonts w:hint="eastAsia"/>
          <w:i/>
          <w:iCs/>
          <w:lang w:eastAsia="zh-CN"/>
        </w:rPr>
        <w:t>Fe</w:t>
      </w:r>
      <w:r>
        <w:rPr>
          <w:i/>
          <w:iCs/>
          <w:lang w:eastAsia="zh-CN"/>
        </w:rPr>
        <w:t>llow</w:t>
      </w:r>
      <w:r>
        <w:rPr>
          <w:i/>
        </w:rPr>
        <w:t>, IEEE</w:t>
      </w:r>
      <w:r>
        <w:t xml:space="preserve">, and Canbing Li, </w:t>
      </w:r>
      <w:r>
        <w:rPr>
          <w:i/>
        </w:rPr>
        <w:t>Senior</w:t>
      </w:r>
      <w:r>
        <w:t xml:space="preserve"> </w:t>
      </w:r>
      <w:r>
        <w:rPr>
          <w:rStyle w:val="MemberType"/>
        </w:rPr>
        <w:t>Member, IEEE</w:t>
      </w:r>
    </w:p>
    <w:p w14:paraId="1AF355FD" w14:textId="77777777" w:rsidR="0090408E" w:rsidRDefault="0090408E" w:rsidP="0090408E">
      <w:pPr>
        <w:pStyle w:val="Title"/>
        <w:framePr w:w="9950" w:wrap="notBeside" w:x="1021" w:y="-349"/>
        <w:rPr>
          <w:lang w:val="en-AU"/>
        </w:rPr>
      </w:pPr>
      <w:r>
        <w:t>Two-Stage Full-Data Processing for Microgrid Planning With High Penetrations of Renewable Energy Sources</w:t>
      </w:r>
    </w:p>
    <w:p w14:paraId="2082E316" w14:textId="77777777" w:rsidR="00E4732A" w:rsidRPr="004F5DEF" w:rsidRDefault="00E97402" w:rsidP="00E4732A">
      <w:pPr>
        <w:pStyle w:val="Text"/>
        <w:ind w:firstLineChars="100" w:firstLine="180"/>
        <w:jc w:val="center"/>
        <w:rPr>
          <w:b/>
          <w:bCs/>
          <w:sz w:val="18"/>
          <w:szCs w:val="18"/>
        </w:rPr>
      </w:pPr>
      <w:r w:rsidRPr="004F5DEF">
        <w:rPr>
          <w:b/>
          <w:bCs/>
          <w:sz w:val="18"/>
          <w:szCs w:val="18"/>
        </w:rPr>
        <w:footnoteReference w:customMarkFollows="1" w:id="1"/>
        <w:sym w:font="Symbol" w:char="F020"/>
      </w:r>
      <w:r w:rsidR="00E4732A" w:rsidRPr="004F5DEF">
        <w:rPr>
          <w:b/>
          <w:bCs/>
          <w:sz w:val="18"/>
          <w:szCs w:val="18"/>
        </w:rPr>
        <w:t>Appendix</w:t>
      </w:r>
    </w:p>
    <w:p w14:paraId="3551D95E" w14:textId="550AB5D8" w:rsidR="001A362F" w:rsidRPr="004F5DEF" w:rsidRDefault="001A362F" w:rsidP="004F5DEF">
      <w:pPr>
        <w:pStyle w:val="Heading2"/>
      </w:pPr>
      <w:r w:rsidRPr="001A362F">
        <w:t xml:space="preserve">Analysis of </w:t>
      </w:r>
      <w:r>
        <w:t>t</w:t>
      </w:r>
      <w:r w:rsidRPr="001A362F">
        <w:t xml:space="preserve">he </w:t>
      </w:r>
      <w:r>
        <w:t>N</w:t>
      </w:r>
      <w:r w:rsidRPr="001A362F">
        <w:t xml:space="preserve">umber of </w:t>
      </w:r>
      <w:r>
        <w:t>O</w:t>
      </w:r>
      <w:r w:rsidRPr="001A362F">
        <w:t xml:space="preserve">perating </w:t>
      </w:r>
      <w:r>
        <w:t>P</w:t>
      </w:r>
      <w:r w:rsidRPr="001A362F">
        <w:t>oints</w:t>
      </w:r>
    </w:p>
    <w:p w14:paraId="04A34D70" w14:textId="674528D5" w:rsidR="001A362F" w:rsidRDefault="001A362F" w:rsidP="003F3A48">
      <w:pPr>
        <w:pStyle w:val="Text"/>
        <w:spacing w:line="210" w:lineRule="exact"/>
      </w:pPr>
      <w:r>
        <w:t>The number of operating points affects the accuracy of planning results. This subsection investigates the performance of the four planning methods with different number</w:t>
      </w:r>
      <w:r w:rsidR="000638A2">
        <w:t>s</w:t>
      </w:r>
      <w:r>
        <w:t xml:space="preserve"> of operating points (</w:t>
      </w:r>
      <w:r w:rsidR="000638A2">
        <w:t xml:space="preserve">i.e., </w:t>
      </w:r>
      <w:r>
        <w:t xml:space="preserve">336, 504, 672, 1008, 1344, 2016). </w:t>
      </w:r>
      <w:r w:rsidR="00DB14E9">
        <w:t>It can be seen from Fig. 9 that</w:t>
      </w:r>
      <w:r>
        <w:t xml:space="preserve"> the absolute cost error incurred by </w:t>
      </w:r>
      <w:r w:rsidR="000638A2">
        <w:t xml:space="preserve">the </w:t>
      </w:r>
      <w:r>
        <w:t xml:space="preserve">PTS method </w:t>
      </w:r>
      <w:r w:rsidR="000638A2">
        <w:t xml:space="preserve">(i.e., 672) </w:t>
      </w:r>
      <w:r>
        <w:t xml:space="preserve">is less than that of the other three methods. This demonstrates that the proposed method is effective for a wide range of </w:t>
      </w:r>
      <w:r w:rsidR="000638A2">
        <w:t xml:space="preserve">operating </w:t>
      </w:r>
      <w:r>
        <w:t xml:space="preserve">points. The </w:t>
      </w:r>
      <w:proofErr w:type="spellStart"/>
      <w:r>
        <w:t>PRW</w:t>
      </w:r>
      <w:proofErr w:type="spellEnd"/>
      <w:r>
        <w:t xml:space="preserve"> and PCC methods benefit the most from </w:t>
      </w:r>
      <w:r w:rsidR="000638A2">
        <w:t xml:space="preserve">an </w:t>
      </w:r>
      <w:r>
        <w:t>increase in the number of operating points.</w:t>
      </w:r>
    </w:p>
    <w:p w14:paraId="463526CC" w14:textId="77777777" w:rsidR="002D607D" w:rsidRDefault="002D607D" w:rsidP="0021658A">
      <w:pPr>
        <w:pStyle w:val="FootnoteText"/>
        <w:spacing w:line="252" w:lineRule="auto"/>
        <w:ind w:firstLine="0"/>
        <w:jc w:val="center"/>
      </w:pPr>
      <w:r>
        <w:rPr>
          <w:noProof/>
        </w:rPr>
        <w:drawing>
          <wp:inline distT="0" distB="0" distL="0" distR="0" wp14:anchorId="232BEABE" wp14:editId="66D94E6B">
            <wp:extent cx="2870200" cy="2049145"/>
            <wp:effectExtent l="0" t="0" r="635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0200" cy="2049145"/>
                    </a:xfrm>
                    <a:prstGeom prst="rect">
                      <a:avLst/>
                    </a:prstGeom>
                    <a:noFill/>
                    <a:ln>
                      <a:noFill/>
                    </a:ln>
                  </pic:spPr>
                </pic:pic>
              </a:graphicData>
            </a:graphic>
          </wp:inline>
        </w:drawing>
      </w:r>
    </w:p>
    <w:p w14:paraId="6E9BBD0C" w14:textId="0C5A7F98" w:rsidR="002D607D" w:rsidRDefault="002D607D" w:rsidP="002D607D">
      <w:pPr>
        <w:pStyle w:val="FootnoteText"/>
        <w:spacing w:line="252" w:lineRule="auto"/>
        <w:ind w:firstLine="0"/>
      </w:pPr>
      <w:r w:rsidRPr="00FA6E80">
        <w:t xml:space="preserve">Fig. 9.  </w:t>
      </w:r>
      <w:r w:rsidR="00E93560">
        <w:t>A</w:t>
      </w:r>
      <w:r w:rsidRPr="00FA6E80">
        <w:t>bsolute value of cost error</w:t>
      </w:r>
    </w:p>
    <w:p w14:paraId="4BB32903" w14:textId="5D21A895" w:rsidR="002D607D" w:rsidRDefault="002D607D" w:rsidP="0021658A">
      <w:pPr>
        <w:pStyle w:val="FootnoteText"/>
        <w:spacing w:line="252" w:lineRule="auto"/>
        <w:ind w:firstLine="0"/>
        <w:jc w:val="center"/>
      </w:pPr>
      <w:r>
        <w:rPr>
          <w:noProof/>
        </w:rPr>
        <w:drawing>
          <wp:inline distT="0" distB="0" distL="0" distR="0" wp14:anchorId="36231347" wp14:editId="6F4D428E">
            <wp:extent cx="2844800" cy="203200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4800" cy="2032000"/>
                    </a:xfrm>
                    <a:prstGeom prst="rect">
                      <a:avLst/>
                    </a:prstGeom>
                    <a:noFill/>
                    <a:ln>
                      <a:noFill/>
                    </a:ln>
                  </pic:spPr>
                </pic:pic>
              </a:graphicData>
            </a:graphic>
          </wp:inline>
        </w:drawing>
      </w:r>
    </w:p>
    <w:p w14:paraId="33393E98" w14:textId="6BC6701B" w:rsidR="002D607D" w:rsidRDefault="002D607D" w:rsidP="002D607D">
      <w:pPr>
        <w:pStyle w:val="FootnoteText"/>
        <w:spacing w:line="252" w:lineRule="auto"/>
        <w:ind w:firstLine="0"/>
      </w:pPr>
      <w:r w:rsidRPr="00FA6E80">
        <w:t>Fig. 10.  Computation time</w:t>
      </w:r>
    </w:p>
    <w:p w14:paraId="0B57FE4F" w14:textId="1B1FF834" w:rsidR="009459A5" w:rsidRPr="00481769" w:rsidRDefault="008F65BF" w:rsidP="00E4732A">
      <w:pPr>
        <w:pStyle w:val="Text"/>
        <w:spacing w:line="210" w:lineRule="exact"/>
        <w:rPr>
          <w:noProof/>
          <w:sz w:val="16"/>
        </w:rPr>
      </w:pPr>
      <w:r>
        <w:t xml:space="preserve">Aside from cost error analyses for different numbers of operating points, the computation performance is compared in Fig. 10. Note that the computation time includes both the time consumed by data processing and the time required to solve the planning model. Compared with RD and </w:t>
      </w:r>
      <w:proofErr w:type="spellStart"/>
      <w:r>
        <w:t>RW</w:t>
      </w:r>
      <w:proofErr w:type="spellEnd"/>
      <w:r>
        <w:t xml:space="preserve"> methods, CC and TS methods take longer to process the raw data. Therefore, when the number of operating points is small (e.g.,</w:t>
      </w:r>
      <w:r w:rsidR="00C01D33">
        <w:t xml:space="preserve"> </w:t>
      </w:r>
      <w:r>
        <w:t>336, 504), the total computation time of PCC and PTS methods is longer. But as the number of operating points increases, the data processing time becomes negligible as compared to the planning model solution time, and the computation burdens of those four methods remain on the same order of magnitude. Note also that the computation time for the solution of</w:t>
      </w:r>
      <w:r w:rsidR="00C01D33">
        <w:t xml:space="preserve"> </w:t>
      </w:r>
      <w:r>
        <w:t xml:space="preserve">the model with raw data (8736 operating points) is about six days. This highlights the effect of data processing approaches on accelerating the solution process. </w:t>
      </w:r>
    </w:p>
    <w:sectPr w:rsidR="009459A5" w:rsidRPr="00481769" w:rsidSect="00143F2E">
      <w:headerReference w:type="default" r:id="rId13"/>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CD5379" w14:textId="77777777" w:rsidR="00DD1A78" w:rsidRDefault="00DD1A78">
      <w:r>
        <w:separator/>
      </w:r>
    </w:p>
  </w:endnote>
  <w:endnote w:type="continuationSeparator" w:id="0">
    <w:p w14:paraId="5D518A1F" w14:textId="77777777" w:rsidR="00DD1A78" w:rsidRDefault="00DD1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askerville">
    <w:altName w:val="Courier New"/>
    <w:charset w:val="00"/>
    <w:family w:val="auto"/>
    <w:pitch w:val="variable"/>
    <w:sig w:usb0="80000067" w:usb1="02000000" w:usb2="00000000" w:usb3="00000000" w:csb0="0000019F" w:csb1="00000000"/>
  </w:font>
  <w:font w:name="Formata-Regular">
    <w:altName w:val="Times New Roman"/>
    <w:charset w:val="4D"/>
    <w:family w:val="auto"/>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8B112" w14:textId="77777777" w:rsidR="00DD1A78" w:rsidRDefault="00DD1A78"/>
  </w:footnote>
  <w:footnote w:type="continuationSeparator" w:id="0">
    <w:p w14:paraId="395163B3" w14:textId="77777777" w:rsidR="00DD1A78" w:rsidRDefault="00DD1A78">
      <w:r>
        <w:continuationSeparator/>
      </w:r>
    </w:p>
  </w:footnote>
  <w:footnote w:id="1">
    <w:p w14:paraId="2384DE60" w14:textId="7DC184C8" w:rsidR="000F64F5" w:rsidRPr="00AF5F94" w:rsidRDefault="000F64F5" w:rsidP="00AF5F94">
      <w:pPr>
        <w:pStyle w:val="FootnoteText"/>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4DE59" w14:textId="77777777" w:rsidR="000F64F5" w:rsidRDefault="000F64F5">
    <w:pPr>
      <w:framePr w:wrap="auto" w:vAnchor="text" w:hAnchor="margin" w:xAlign="right" w:y="1"/>
    </w:pPr>
    <w:r>
      <w:fldChar w:fldCharType="begin"/>
    </w:r>
    <w:r>
      <w:instrText xml:space="preserve">PAGE  </w:instrText>
    </w:r>
    <w:r>
      <w:fldChar w:fldCharType="separate"/>
    </w:r>
    <w:r>
      <w:rPr>
        <w:noProof/>
      </w:rPr>
      <w:t>1</w:t>
    </w:r>
    <w:r>
      <w:fldChar w:fldCharType="end"/>
    </w:r>
  </w:p>
  <w:p w14:paraId="2384DE5B" w14:textId="77777777" w:rsidR="000F64F5" w:rsidRDefault="000F64F5" w:rsidP="0034319D">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6388E5E"/>
    <w:lvl w:ilvl="0">
      <w:start w:val="1"/>
      <w:numFmt w:val="upperRoman"/>
      <w:pStyle w:val="Heading1"/>
      <w:lvlText w:val="%1."/>
      <w:lvlJc w:val="left"/>
      <w:pPr>
        <w:ind w:left="0" w:firstLine="0"/>
      </w:pPr>
      <w:rPr>
        <w:rFonts w:hint="default"/>
      </w:rPr>
    </w:lvl>
    <w:lvl w:ilvl="1">
      <w:start w:val="4"/>
      <w:numFmt w:val="upperLetter"/>
      <w:pStyle w:val="Heading2"/>
      <w:lvlText w:val="%2."/>
      <w:lvlJc w:val="left"/>
      <w:pPr>
        <w:ind w:left="0" w:firstLine="0"/>
      </w:pPr>
      <w:rPr>
        <w:rFonts w:hint="default"/>
        <w:b w:val="0"/>
      </w:rPr>
    </w:lvl>
    <w:lvl w:ilvl="2">
      <w:start w:val="1"/>
      <w:numFmt w:val="decimal"/>
      <w:pStyle w:val="Heading3"/>
      <w:lvlText w:val="%3)"/>
      <w:lvlJc w:val="left"/>
      <w:pPr>
        <w:ind w:left="0" w:firstLine="0"/>
      </w:pPr>
      <w:rPr>
        <w:rFonts w:hint="default"/>
        <w:i/>
      </w:rPr>
    </w:lvl>
    <w:lvl w:ilvl="3">
      <w:start w:val="1"/>
      <w:numFmt w:val="lowerLetter"/>
      <w:pStyle w:val="Heading4"/>
      <w:lvlText w:val="%4)"/>
      <w:lvlJc w:val="left"/>
      <w:pPr>
        <w:ind w:left="1152" w:hanging="720"/>
      </w:pPr>
      <w:rPr>
        <w:rFonts w:hint="default"/>
      </w:rPr>
    </w:lvl>
    <w:lvl w:ilvl="4">
      <w:start w:val="1"/>
      <w:numFmt w:val="decimal"/>
      <w:pStyle w:val="Heading5"/>
      <w:lvlText w:val="(%5)"/>
      <w:lvlJc w:val="left"/>
      <w:pPr>
        <w:ind w:left="1872" w:hanging="720"/>
      </w:pPr>
      <w:rPr>
        <w:rFonts w:hint="default"/>
      </w:rPr>
    </w:lvl>
    <w:lvl w:ilvl="5">
      <w:start w:val="1"/>
      <w:numFmt w:val="lowerLetter"/>
      <w:pStyle w:val="Heading6"/>
      <w:lvlText w:val="(%6)"/>
      <w:lvlJc w:val="left"/>
      <w:pPr>
        <w:ind w:left="2592" w:hanging="720"/>
      </w:pPr>
      <w:rPr>
        <w:rFonts w:hint="default"/>
      </w:rPr>
    </w:lvl>
    <w:lvl w:ilvl="6">
      <w:start w:val="1"/>
      <w:numFmt w:val="lowerRoman"/>
      <w:pStyle w:val="Heading7"/>
      <w:lvlText w:val="(%7)"/>
      <w:lvlJc w:val="left"/>
      <w:pPr>
        <w:ind w:left="3312" w:hanging="720"/>
      </w:pPr>
      <w:rPr>
        <w:rFonts w:hint="default"/>
      </w:rPr>
    </w:lvl>
    <w:lvl w:ilvl="7">
      <w:start w:val="1"/>
      <w:numFmt w:val="lowerLetter"/>
      <w:pStyle w:val="Heading8"/>
      <w:lvlText w:val="(%8)"/>
      <w:lvlJc w:val="left"/>
      <w:pPr>
        <w:ind w:left="4032" w:hanging="720"/>
      </w:pPr>
      <w:rPr>
        <w:rFonts w:hint="default"/>
      </w:rPr>
    </w:lvl>
    <w:lvl w:ilvl="8">
      <w:start w:val="1"/>
      <w:numFmt w:val="lowerRoman"/>
      <w:pStyle w:val="Heading9"/>
      <w:lvlText w:val="(%9)"/>
      <w:lvlJc w:val="left"/>
      <w:pPr>
        <w:ind w:left="4752" w:hanging="720"/>
      </w:pPr>
      <w:rPr>
        <w:rFonts w:hint="default"/>
      </w:rPr>
    </w:lvl>
  </w:abstractNum>
  <w:abstractNum w:abstractNumId="1" w15:restartNumberingAfterBreak="0">
    <w:nsid w:val="22083CA7"/>
    <w:multiLevelType w:val="hybridMultilevel"/>
    <w:tmpl w:val="1A7EB986"/>
    <w:lvl w:ilvl="0" w:tplc="DCFA0A76">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A772DC1"/>
    <w:multiLevelType w:val="hybridMultilevel"/>
    <w:tmpl w:val="F8661D60"/>
    <w:lvl w:ilvl="0" w:tplc="DAF0E504">
      <w:start w:val="1"/>
      <w:numFmt w:val="decimal"/>
      <w:pStyle w:val="IETHeading2"/>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4" w15:restartNumberingAfterBreak="0">
    <w:nsid w:val="75AF7D97"/>
    <w:multiLevelType w:val="hybridMultilevel"/>
    <w:tmpl w:val="C040038C"/>
    <w:lvl w:ilvl="0" w:tplc="04090001">
      <w:start w:val="1"/>
      <w:numFmt w:val="bullet"/>
      <w:lvlText w:val=""/>
      <w:lvlJc w:val="left"/>
      <w:pPr>
        <w:ind w:left="622" w:hanging="420"/>
      </w:pPr>
      <w:rPr>
        <w:rFonts w:ascii="Wingdings" w:hAnsi="Wingdings" w:hint="default"/>
      </w:rPr>
    </w:lvl>
    <w:lvl w:ilvl="1" w:tplc="04090003" w:tentative="1">
      <w:start w:val="1"/>
      <w:numFmt w:val="bullet"/>
      <w:lvlText w:val=""/>
      <w:lvlJc w:val="left"/>
      <w:pPr>
        <w:ind w:left="1042" w:hanging="420"/>
      </w:pPr>
      <w:rPr>
        <w:rFonts w:ascii="Wingdings" w:hAnsi="Wingdings" w:hint="default"/>
      </w:rPr>
    </w:lvl>
    <w:lvl w:ilvl="2" w:tplc="04090005"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3" w:tentative="1">
      <w:start w:val="1"/>
      <w:numFmt w:val="bullet"/>
      <w:lvlText w:val=""/>
      <w:lvlJc w:val="left"/>
      <w:pPr>
        <w:ind w:left="2302" w:hanging="420"/>
      </w:pPr>
      <w:rPr>
        <w:rFonts w:ascii="Wingdings" w:hAnsi="Wingdings" w:hint="default"/>
      </w:rPr>
    </w:lvl>
    <w:lvl w:ilvl="5" w:tplc="04090005"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3" w:tentative="1">
      <w:start w:val="1"/>
      <w:numFmt w:val="bullet"/>
      <w:lvlText w:val=""/>
      <w:lvlJc w:val="left"/>
      <w:pPr>
        <w:ind w:left="3562" w:hanging="420"/>
      </w:pPr>
      <w:rPr>
        <w:rFonts w:ascii="Wingdings" w:hAnsi="Wingdings" w:hint="default"/>
      </w:rPr>
    </w:lvl>
    <w:lvl w:ilvl="8" w:tplc="04090005" w:tentative="1">
      <w:start w:val="1"/>
      <w:numFmt w:val="bullet"/>
      <w:lvlText w:val=""/>
      <w:lvlJc w:val="left"/>
      <w:pPr>
        <w:ind w:left="3982" w:hanging="420"/>
      </w:pPr>
      <w:rPr>
        <w:rFonts w:ascii="Wingdings" w:hAnsi="Wingdings" w:hint="default"/>
      </w:rPr>
    </w:lvl>
  </w:abstractNum>
  <w:abstractNum w:abstractNumId="5" w15:restartNumberingAfterBreak="0">
    <w:nsid w:val="777F23EF"/>
    <w:multiLevelType w:val="hybridMultilevel"/>
    <w:tmpl w:val="D63E855E"/>
    <w:lvl w:ilvl="0" w:tplc="04090001">
      <w:start w:val="1"/>
      <w:numFmt w:val="bullet"/>
      <w:lvlText w:val=""/>
      <w:lvlJc w:val="left"/>
      <w:pPr>
        <w:ind w:left="622" w:hanging="420"/>
      </w:pPr>
      <w:rPr>
        <w:rFonts w:ascii="Wingdings" w:hAnsi="Wingdings" w:hint="default"/>
      </w:rPr>
    </w:lvl>
    <w:lvl w:ilvl="1" w:tplc="04090003" w:tentative="1">
      <w:start w:val="1"/>
      <w:numFmt w:val="bullet"/>
      <w:lvlText w:val=""/>
      <w:lvlJc w:val="left"/>
      <w:pPr>
        <w:ind w:left="1042" w:hanging="420"/>
      </w:pPr>
      <w:rPr>
        <w:rFonts w:ascii="Wingdings" w:hAnsi="Wingdings" w:hint="default"/>
      </w:rPr>
    </w:lvl>
    <w:lvl w:ilvl="2" w:tplc="04090005"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3" w:tentative="1">
      <w:start w:val="1"/>
      <w:numFmt w:val="bullet"/>
      <w:lvlText w:val=""/>
      <w:lvlJc w:val="left"/>
      <w:pPr>
        <w:ind w:left="2302" w:hanging="420"/>
      </w:pPr>
      <w:rPr>
        <w:rFonts w:ascii="Wingdings" w:hAnsi="Wingdings" w:hint="default"/>
      </w:rPr>
    </w:lvl>
    <w:lvl w:ilvl="5" w:tplc="04090005"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3" w:tentative="1">
      <w:start w:val="1"/>
      <w:numFmt w:val="bullet"/>
      <w:lvlText w:val=""/>
      <w:lvlJc w:val="left"/>
      <w:pPr>
        <w:ind w:left="3562" w:hanging="420"/>
      </w:pPr>
      <w:rPr>
        <w:rFonts w:ascii="Wingdings" w:hAnsi="Wingdings" w:hint="default"/>
      </w:rPr>
    </w:lvl>
    <w:lvl w:ilvl="8" w:tplc="04090005" w:tentative="1">
      <w:start w:val="1"/>
      <w:numFmt w:val="bullet"/>
      <w:lvlText w:val=""/>
      <w:lvlJc w:val="left"/>
      <w:pPr>
        <w:ind w:left="3982" w:hanging="420"/>
      </w:pPr>
      <w:rPr>
        <w:rFonts w:ascii="Wingdings" w:hAnsi="Wingdings" w:hint="default"/>
      </w:rPr>
    </w:lvl>
  </w:abstractNum>
  <w:abstractNum w:abstractNumId="6" w15:restartNumberingAfterBreak="0">
    <w:nsid w:val="7A765942"/>
    <w:multiLevelType w:val="hybridMultilevel"/>
    <w:tmpl w:val="A614B6C8"/>
    <w:lvl w:ilvl="0" w:tplc="67F6CD6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1"/>
  </w:num>
  <w:num w:numId="4">
    <w:abstractNumId w:val="4"/>
  </w:num>
  <w:num w:numId="5">
    <w:abstractNumId w:val="5"/>
  </w:num>
  <w:num w:numId="6">
    <w:abstractNumId w:val="0"/>
  </w:num>
  <w:num w:numId="7">
    <w:abstractNumId w:val="6"/>
  </w:num>
  <w:num w:numId="8">
    <w:abstractNumId w:val="0"/>
  </w:num>
  <w:num w:numId="9">
    <w:abstractNumId w:val="0"/>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bordersDoNotSurroundHeader/>
  <w:bordersDoNotSurroundFooter/>
  <w:proofState w:spelling="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45"/>
    <w:rsid w:val="00005E68"/>
    <w:rsid w:val="000325B6"/>
    <w:rsid w:val="00042E13"/>
    <w:rsid w:val="00043D3C"/>
    <w:rsid w:val="000575E4"/>
    <w:rsid w:val="00060A41"/>
    <w:rsid w:val="000618CC"/>
    <w:rsid w:val="000638A2"/>
    <w:rsid w:val="00065922"/>
    <w:rsid w:val="00074752"/>
    <w:rsid w:val="00094EE4"/>
    <w:rsid w:val="00095D16"/>
    <w:rsid w:val="000A0C2F"/>
    <w:rsid w:val="000A168B"/>
    <w:rsid w:val="000A6F5A"/>
    <w:rsid w:val="000B59EA"/>
    <w:rsid w:val="000B61A5"/>
    <w:rsid w:val="000B7458"/>
    <w:rsid w:val="000B7CF4"/>
    <w:rsid w:val="000C1B09"/>
    <w:rsid w:val="000C3ED6"/>
    <w:rsid w:val="000C7136"/>
    <w:rsid w:val="000D2BDE"/>
    <w:rsid w:val="000D5985"/>
    <w:rsid w:val="000F5EAA"/>
    <w:rsid w:val="000F64F5"/>
    <w:rsid w:val="00104BB0"/>
    <w:rsid w:val="0010794E"/>
    <w:rsid w:val="00113F26"/>
    <w:rsid w:val="00122701"/>
    <w:rsid w:val="00123269"/>
    <w:rsid w:val="0013354F"/>
    <w:rsid w:val="00143F2E"/>
    <w:rsid w:val="00144E72"/>
    <w:rsid w:val="001544F0"/>
    <w:rsid w:val="0015476B"/>
    <w:rsid w:val="0015597F"/>
    <w:rsid w:val="00155AE1"/>
    <w:rsid w:val="00160266"/>
    <w:rsid w:val="001650C6"/>
    <w:rsid w:val="001673CA"/>
    <w:rsid w:val="00167CCD"/>
    <w:rsid w:val="001768FF"/>
    <w:rsid w:val="00182A8A"/>
    <w:rsid w:val="00184244"/>
    <w:rsid w:val="00187ECE"/>
    <w:rsid w:val="001930B7"/>
    <w:rsid w:val="00196D2F"/>
    <w:rsid w:val="001A362F"/>
    <w:rsid w:val="001A60B1"/>
    <w:rsid w:val="001B2686"/>
    <w:rsid w:val="001B36B1"/>
    <w:rsid w:val="001D03AB"/>
    <w:rsid w:val="001D458D"/>
    <w:rsid w:val="001E077F"/>
    <w:rsid w:val="001E5B2C"/>
    <w:rsid w:val="001E7B7A"/>
    <w:rsid w:val="001F4C5C"/>
    <w:rsid w:val="00204478"/>
    <w:rsid w:val="00214E2E"/>
    <w:rsid w:val="00216141"/>
    <w:rsid w:val="0021658A"/>
    <w:rsid w:val="00217186"/>
    <w:rsid w:val="00222ECF"/>
    <w:rsid w:val="002434A1"/>
    <w:rsid w:val="00250474"/>
    <w:rsid w:val="00257BDA"/>
    <w:rsid w:val="00263943"/>
    <w:rsid w:val="00267B35"/>
    <w:rsid w:val="00272878"/>
    <w:rsid w:val="00273E75"/>
    <w:rsid w:val="00284CF0"/>
    <w:rsid w:val="00296A84"/>
    <w:rsid w:val="00297305"/>
    <w:rsid w:val="002A1476"/>
    <w:rsid w:val="002A6005"/>
    <w:rsid w:val="002B60CB"/>
    <w:rsid w:val="002C39DD"/>
    <w:rsid w:val="002D607D"/>
    <w:rsid w:val="002E1F95"/>
    <w:rsid w:val="002E4DB5"/>
    <w:rsid w:val="002E54D8"/>
    <w:rsid w:val="002F015F"/>
    <w:rsid w:val="002F1A23"/>
    <w:rsid w:val="002F7910"/>
    <w:rsid w:val="00314F82"/>
    <w:rsid w:val="003162A4"/>
    <w:rsid w:val="003219E1"/>
    <w:rsid w:val="00324899"/>
    <w:rsid w:val="00327727"/>
    <w:rsid w:val="003317FD"/>
    <w:rsid w:val="003427CE"/>
    <w:rsid w:val="00342BE1"/>
    <w:rsid w:val="0034319D"/>
    <w:rsid w:val="003461E8"/>
    <w:rsid w:val="00360269"/>
    <w:rsid w:val="00362DE9"/>
    <w:rsid w:val="0036594F"/>
    <w:rsid w:val="00366AF5"/>
    <w:rsid w:val="003753C1"/>
    <w:rsid w:val="0037551B"/>
    <w:rsid w:val="00376617"/>
    <w:rsid w:val="00385419"/>
    <w:rsid w:val="00391FF5"/>
    <w:rsid w:val="00392DBA"/>
    <w:rsid w:val="003934BF"/>
    <w:rsid w:val="00396C93"/>
    <w:rsid w:val="003B22B5"/>
    <w:rsid w:val="003C3322"/>
    <w:rsid w:val="003C68C2"/>
    <w:rsid w:val="003D1EBF"/>
    <w:rsid w:val="003D4CAE"/>
    <w:rsid w:val="003E3871"/>
    <w:rsid w:val="003E42DB"/>
    <w:rsid w:val="003E7033"/>
    <w:rsid w:val="003F26BD"/>
    <w:rsid w:val="003F3A48"/>
    <w:rsid w:val="003F52AD"/>
    <w:rsid w:val="00401707"/>
    <w:rsid w:val="0043144F"/>
    <w:rsid w:val="00431BFA"/>
    <w:rsid w:val="004353CF"/>
    <w:rsid w:val="004371D7"/>
    <w:rsid w:val="004453A7"/>
    <w:rsid w:val="00450B54"/>
    <w:rsid w:val="004631BC"/>
    <w:rsid w:val="004661FE"/>
    <w:rsid w:val="00467098"/>
    <w:rsid w:val="00470C35"/>
    <w:rsid w:val="004769CB"/>
    <w:rsid w:val="00481769"/>
    <w:rsid w:val="00484761"/>
    <w:rsid w:val="00484DD5"/>
    <w:rsid w:val="00487FDE"/>
    <w:rsid w:val="004928D8"/>
    <w:rsid w:val="004B558A"/>
    <w:rsid w:val="004C0AC2"/>
    <w:rsid w:val="004C1E16"/>
    <w:rsid w:val="004C2543"/>
    <w:rsid w:val="004C34A5"/>
    <w:rsid w:val="004D036B"/>
    <w:rsid w:val="004D15CA"/>
    <w:rsid w:val="004D170D"/>
    <w:rsid w:val="004D5A0D"/>
    <w:rsid w:val="004D5FE6"/>
    <w:rsid w:val="004E3059"/>
    <w:rsid w:val="004E39A4"/>
    <w:rsid w:val="004E3E4C"/>
    <w:rsid w:val="004F23A0"/>
    <w:rsid w:val="004F5DEF"/>
    <w:rsid w:val="005003E3"/>
    <w:rsid w:val="005052CD"/>
    <w:rsid w:val="005303B5"/>
    <w:rsid w:val="00535307"/>
    <w:rsid w:val="00544728"/>
    <w:rsid w:val="00550A26"/>
    <w:rsid w:val="00550BF5"/>
    <w:rsid w:val="00560194"/>
    <w:rsid w:val="00567A70"/>
    <w:rsid w:val="005A1B39"/>
    <w:rsid w:val="005A2A15"/>
    <w:rsid w:val="005A5652"/>
    <w:rsid w:val="005B3E4D"/>
    <w:rsid w:val="005C6AB6"/>
    <w:rsid w:val="005C6EA6"/>
    <w:rsid w:val="005D1B15"/>
    <w:rsid w:val="005D2824"/>
    <w:rsid w:val="005D39DD"/>
    <w:rsid w:val="005D3CF0"/>
    <w:rsid w:val="005D48E2"/>
    <w:rsid w:val="005D4F1A"/>
    <w:rsid w:val="005D72BB"/>
    <w:rsid w:val="005E44FD"/>
    <w:rsid w:val="005E692F"/>
    <w:rsid w:val="005F57BE"/>
    <w:rsid w:val="00603CAC"/>
    <w:rsid w:val="00606933"/>
    <w:rsid w:val="00610ABE"/>
    <w:rsid w:val="00612EFC"/>
    <w:rsid w:val="0062114B"/>
    <w:rsid w:val="006216C3"/>
    <w:rsid w:val="00623698"/>
    <w:rsid w:val="00625E96"/>
    <w:rsid w:val="006268C3"/>
    <w:rsid w:val="00640203"/>
    <w:rsid w:val="00646929"/>
    <w:rsid w:val="00647C09"/>
    <w:rsid w:val="00650547"/>
    <w:rsid w:val="00651F2C"/>
    <w:rsid w:val="0065449E"/>
    <w:rsid w:val="0066165B"/>
    <w:rsid w:val="00672727"/>
    <w:rsid w:val="00677C22"/>
    <w:rsid w:val="00685D0E"/>
    <w:rsid w:val="00693D5D"/>
    <w:rsid w:val="006A7F7F"/>
    <w:rsid w:val="006B691D"/>
    <w:rsid w:val="006B7F03"/>
    <w:rsid w:val="006C6734"/>
    <w:rsid w:val="006C7307"/>
    <w:rsid w:val="006D045F"/>
    <w:rsid w:val="006E1D06"/>
    <w:rsid w:val="006F25E7"/>
    <w:rsid w:val="00720E52"/>
    <w:rsid w:val="00725B45"/>
    <w:rsid w:val="0072796E"/>
    <w:rsid w:val="00735879"/>
    <w:rsid w:val="007530A3"/>
    <w:rsid w:val="00757AD0"/>
    <w:rsid w:val="0076355A"/>
    <w:rsid w:val="007707AB"/>
    <w:rsid w:val="0077735A"/>
    <w:rsid w:val="00787DC1"/>
    <w:rsid w:val="007967F1"/>
    <w:rsid w:val="007A6651"/>
    <w:rsid w:val="007A754D"/>
    <w:rsid w:val="007A7D60"/>
    <w:rsid w:val="007A7E25"/>
    <w:rsid w:val="007C339D"/>
    <w:rsid w:val="007C4336"/>
    <w:rsid w:val="007D31D7"/>
    <w:rsid w:val="007F1D1C"/>
    <w:rsid w:val="007F2F1A"/>
    <w:rsid w:val="007F5AAA"/>
    <w:rsid w:val="007F6D9C"/>
    <w:rsid w:val="007F713A"/>
    <w:rsid w:val="007F7AA6"/>
    <w:rsid w:val="00800196"/>
    <w:rsid w:val="008058F1"/>
    <w:rsid w:val="008128E3"/>
    <w:rsid w:val="00812F42"/>
    <w:rsid w:val="0081663F"/>
    <w:rsid w:val="00822AEF"/>
    <w:rsid w:val="00823624"/>
    <w:rsid w:val="0082661F"/>
    <w:rsid w:val="00837E47"/>
    <w:rsid w:val="008410D0"/>
    <w:rsid w:val="0084725C"/>
    <w:rsid w:val="008507DC"/>
    <w:rsid w:val="008518FE"/>
    <w:rsid w:val="0085659C"/>
    <w:rsid w:val="00856C1E"/>
    <w:rsid w:val="008615A6"/>
    <w:rsid w:val="00864212"/>
    <w:rsid w:val="00865442"/>
    <w:rsid w:val="008654DC"/>
    <w:rsid w:val="00872026"/>
    <w:rsid w:val="0087318C"/>
    <w:rsid w:val="0087792E"/>
    <w:rsid w:val="00883EAF"/>
    <w:rsid w:val="008850AF"/>
    <w:rsid w:val="00885258"/>
    <w:rsid w:val="00895DDC"/>
    <w:rsid w:val="008A30C3"/>
    <w:rsid w:val="008A3C23"/>
    <w:rsid w:val="008B09C2"/>
    <w:rsid w:val="008C4260"/>
    <w:rsid w:val="008C49CC"/>
    <w:rsid w:val="008D1DDE"/>
    <w:rsid w:val="008D69E9"/>
    <w:rsid w:val="008E0645"/>
    <w:rsid w:val="008E3ACA"/>
    <w:rsid w:val="008E7C80"/>
    <w:rsid w:val="008F1DFD"/>
    <w:rsid w:val="008F4320"/>
    <w:rsid w:val="008F468B"/>
    <w:rsid w:val="008F594A"/>
    <w:rsid w:val="008F65BF"/>
    <w:rsid w:val="00903318"/>
    <w:rsid w:val="0090408E"/>
    <w:rsid w:val="00904C7E"/>
    <w:rsid w:val="0091035B"/>
    <w:rsid w:val="00936D5B"/>
    <w:rsid w:val="00940A8F"/>
    <w:rsid w:val="009459A5"/>
    <w:rsid w:val="00952E4B"/>
    <w:rsid w:val="0096099A"/>
    <w:rsid w:val="0096389F"/>
    <w:rsid w:val="00965FD5"/>
    <w:rsid w:val="00981885"/>
    <w:rsid w:val="00990C79"/>
    <w:rsid w:val="009926C5"/>
    <w:rsid w:val="00995EDF"/>
    <w:rsid w:val="009A1F6E"/>
    <w:rsid w:val="009C7D17"/>
    <w:rsid w:val="009E4347"/>
    <w:rsid w:val="009E484E"/>
    <w:rsid w:val="009E52D0"/>
    <w:rsid w:val="009E6645"/>
    <w:rsid w:val="009F1BBB"/>
    <w:rsid w:val="009F40FB"/>
    <w:rsid w:val="009F4B45"/>
    <w:rsid w:val="00A00EB7"/>
    <w:rsid w:val="00A0246C"/>
    <w:rsid w:val="00A025B9"/>
    <w:rsid w:val="00A02FA3"/>
    <w:rsid w:val="00A211D8"/>
    <w:rsid w:val="00A22FCB"/>
    <w:rsid w:val="00A25B3B"/>
    <w:rsid w:val="00A309F3"/>
    <w:rsid w:val="00A3480E"/>
    <w:rsid w:val="00A40127"/>
    <w:rsid w:val="00A45C69"/>
    <w:rsid w:val="00A472F1"/>
    <w:rsid w:val="00A5237D"/>
    <w:rsid w:val="00A541D3"/>
    <w:rsid w:val="00A554A3"/>
    <w:rsid w:val="00A6323D"/>
    <w:rsid w:val="00A758EA"/>
    <w:rsid w:val="00A7650C"/>
    <w:rsid w:val="00A8567A"/>
    <w:rsid w:val="00A91937"/>
    <w:rsid w:val="00A94281"/>
    <w:rsid w:val="00A9434E"/>
    <w:rsid w:val="00A95C50"/>
    <w:rsid w:val="00A96830"/>
    <w:rsid w:val="00AA68E3"/>
    <w:rsid w:val="00AB28D2"/>
    <w:rsid w:val="00AB37F5"/>
    <w:rsid w:val="00AB79A6"/>
    <w:rsid w:val="00AC23C9"/>
    <w:rsid w:val="00AC4850"/>
    <w:rsid w:val="00AD0E02"/>
    <w:rsid w:val="00AD7397"/>
    <w:rsid w:val="00AD74D1"/>
    <w:rsid w:val="00AF5F94"/>
    <w:rsid w:val="00B041D3"/>
    <w:rsid w:val="00B06A06"/>
    <w:rsid w:val="00B16DB5"/>
    <w:rsid w:val="00B279ED"/>
    <w:rsid w:val="00B47B59"/>
    <w:rsid w:val="00B53F81"/>
    <w:rsid w:val="00B56C2B"/>
    <w:rsid w:val="00B615C3"/>
    <w:rsid w:val="00B65BD3"/>
    <w:rsid w:val="00B66A22"/>
    <w:rsid w:val="00B70469"/>
    <w:rsid w:val="00B72DD8"/>
    <w:rsid w:val="00B72E09"/>
    <w:rsid w:val="00B74BEA"/>
    <w:rsid w:val="00B967E1"/>
    <w:rsid w:val="00BD0682"/>
    <w:rsid w:val="00BD20F7"/>
    <w:rsid w:val="00BD3DFD"/>
    <w:rsid w:val="00BD58C8"/>
    <w:rsid w:val="00BE45DC"/>
    <w:rsid w:val="00BF0C69"/>
    <w:rsid w:val="00BF629B"/>
    <w:rsid w:val="00BF655C"/>
    <w:rsid w:val="00C01D33"/>
    <w:rsid w:val="00C01FF8"/>
    <w:rsid w:val="00C02A05"/>
    <w:rsid w:val="00C04A43"/>
    <w:rsid w:val="00C075EF"/>
    <w:rsid w:val="00C07BF3"/>
    <w:rsid w:val="00C11E83"/>
    <w:rsid w:val="00C2378A"/>
    <w:rsid w:val="00C31782"/>
    <w:rsid w:val="00C365AD"/>
    <w:rsid w:val="00C37543"/>
    <w:rsid w:val="00C378A1"/>
    <w:rsid w:val="00C501E8"/>
    <w:rsid w:val="00C51986"/>
    <w:rsid w:val="00C548AE"/>
    <w:rsid w:val="00C561B5"/>
    <w:rsid w:val="00C6114A"/>
    <w:rsid w:val="00C621D6"/>
    <w:rsid w:val="00C75907"/>
    <w:rsid w:val="00C76F89"/>
    <w:rsid w:val="00C82D86"/>
    <w:rsid w:val="00C907C9"/>
    <w:rsid w:val="00C974DB"/>
    <w:rsid w:val="00CA00AE"/>
    <w:rsid w:val="00CA1685"/>
    <w:rsid w:val="00CA7A72"/>
    <w:rsid w:val="00CB4B8D"/>
    <w:rsid w:val="00CC025C"/>
    <w:rsid w:val="00CC0DDA"/>
    <w:rsid w:val="00CC5555"/>
    <w:rsid w:val="00CC6504"/>
    <w:rsid w:val="00CD15CA"/>
    <w:rsid w:val="00CD351B"/>
    <w:rsid w:val="00CD4D01"/>
    <w:rsid w:val="00CD684F"/>
    <w:rsid w:val="00CE0D24"/>
    <w:rsid w:val="00CE6DDF"/>
    <w:rsid w:val="00CF2B66"/>
    <w:rsid w:val="00D06623"/>
    <w:rsid w:val="00D13992"/>
    <w:rsid w:val="00D1404A"/>
    <w:rsid w:val="00D14C6B"/>
    <w:rsid w:val="00D25123"/>
    <w:rsid w:val="00D318B7"/>
    <w:rsid w:val="00D329E7"/>
    <w:rsid w:val="00D3662A"/>
    <w:rsid w:val="00D453C7"/>
    <w:rsid w:val="00D53F00"/>
    <w:rsid w:val="00D54E32"/>
    <w:rsid w:val="00D5536F"/>
    <w:rsid w:val="00D56935"/>
    <w:rsid w:val="00D716BA"/>
    <w:rsid w:val="00D748BF"/>
    <w:rsid w:val="00D758C6"/>
    <w:rsid w:val="00D7612F"/>
    <w:rsid w:val="00D82D3C"/>
    <w:rsid w:val="00D904CB"/>
    <w:rsid w:val="00D90C10"/>
    <w:rsid w:val="00D9140B"/>
    <w:rsid w:val="00D92E96"/>
    <w:rsid w:val="00DA258C"/>
    <w:rsid w:val="00DA4345"/>
    <w:rsid w:val="00DB0B3B"/>
    <w:rsid w:val="00DB14E9"/>
    <w:rsid w:val="00DB3BE7"/>
    <w:rsid w:val="00DC3859"/>
    <w:rsid w:val="00DC6F96"/>
    <w:rsid w:val="00DD1A78"/>
    <w:rsid w:val="00DD7270"/>
    <w:rsid w:val="00DE07FA"/>
    <w:rsid w:val="00DE20DB"/>
    <w:rsid w:val="00DF129F"/>
    <w:rsid w:val="00DF2DDE"/>
    <w:rsid w:val="00DF56E1"/>
    <w:rsid w:val="00DF5C94"/>
    <w:rsid w:val="00DF5F85"/>
    <w:rsid w:val="00DF77C8"/>
    <w:rsid w:val="00DF7DB6"/>
    <w:rsid w:val="00E00CFC"/>
    <w:rsid w:val="00E01667"/>
    <w:rsid w:val="00E0334C"/>
    <w:rsid w:val="00E05698"/>
    <w:rsid w:val="00E1129D"/>
    <w:rsid w:val="00E13730"/>
    <w:rsid w:val="00E14326"/>
    <w:rsid w:val="00E14CE5"/>
    <w:rsid w:val="00E35C19"/>
    <w:rsid w:val="00E36209"/>
    <w:rsid w:val="00E36D17"/>
    <w:rsid w:val="00E37AF9"/>
    <w:rsid w:val="00E420BB"/>
    <w:rsid w:val="00E43968"/>
    <w:rsid w:val="00E4732A"/>
    <w:rsid w:val="00E50DF6"/>
    <w:rsid w:val="00E6157E"/>
    <w:rsid w:val="00E6336D"/>
    <w:rsid w:val="00E6366C"/>
    <w:rsid w:val="00E825D6"/>
    <w:rsid w:val="00E82963"/>
    <w:rsid w:val="00E83E8F"/>
    <w:rsid w:val="00E93560"/>
    <w:rsid w:val="00E95DA9"/>
    <w:rsid w:val="00E965C5"/>
    <w:rsid w:val="00E96A3A"/>
    <w:rsid w:val="00E973FB"/>
    <w:rsid w:val="00E97402"/>
    <w:rsid w:val="00E97B99"/>
    <w:rsid w:val="00EA1CAA"/>
    <w:rsid w:val="00EB289E"/>
    <w:rsid w:val="00EB2E9D"/>
    <w:rsid w:val="00EC1E60"/>
    <w:rsid w:val="00EC4429"/>
    <w:rsid w:val="00EC4A79"/>
    <w:rsid w:val="00ED1E14"/>
    <w:rsid w:val="00ED6587"/>
    <w:rsid w:val="00EE169B"/>
    <w:rsid w:val="00EE6FFC"/>
    <w:rsid w:val="00EF10AC"/>
    <w:rsid w:val="00EF37F4"/>
    <w:rsid w:val="00EF4701"/>
    <w:rsid w:val="00EF564E"/>
    <w:rsid w:val="00EF691F"/>
    <w:rsid w:val="00F17142"/>
    <w:rsid w:val="00F22198"/>
    <w:rsid w:val="00F261CD"/>
    <w:rsid w:val="00F27F08"/>
    <w:rsid w:val="00F33D49"/>
    <w:rsid w:val="00F3481E"/>
    <w:rsid w:val="00F42D24"/>
    <w:rsid w:val="00F44427"/>
    <w:rsid w:val="00F468B2"/>
    <w:rsid w:val="00F543F2"/>
    <w:rsid w:val="00F577F6"/>
    <w:rsid w:val="00F6375A"/>
    <w:rsid w:val="00F65266"/>
    <w:rsid w:val="00F751E1"/>
    <w:rsid w:val="00F932B6"/>
    <w:rsid w:val="00F94FBF"/>
    <w:rsid w:val="00FA0332"/>
    <w:rsid w:val="00FA338F"/>
    <w:rsid w:val="00FA535B"/>
    <w:rsid w:val="00FA6484"/>
    <w:rsid w:val="00FA6E80"/>
    <w:rsid w:val="00FB3286"/>
    <w:rsid w:val="00FB7936"/>
    <w:rsid w:val="00FC0B7B"/>
    <w:rsid w:val="00FD347F"/>
    <w:rsid w:val="00FD78D5"/>
    <w:rsid w:val="00FE79C0"/>
    <w:rsid w:val="00FF16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84DD29"/>
  <w14:defaultImageDpi w14:val="32767"/>
  <w15:chartTrackingRefBased/>
  <w15:docId w15:val="{85281726-76AF-4434-9F97-91A8FA8B0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qFormat="1"/>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link w:val="TitleChar"/>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qFormat/>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qFormat/>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CommentText">
    <w:name w:val="annotation text"/>
    <w:basedOn w:val="Normal"/>
    <w:link w:val="CommentTextChar"/>
    <w:qFormat/>
    <w:rsid w:val="00EC1E60"/>
  </w:style>
  <w:style w:type="character" w:customStyle="1" w:styleId="CommentTextChar">
    <w:name w:val="Comment Text Char"/>
    <w:basedOn w:val="DefaultParagraphFont"/>
    <w:link w:val="CommentText"/>
    <w:rsid w:val="00EC1E60"/>
  </w:style>
  <w:style w:type="paragraph" w:styleId="CommentSubject">
    <w:name w:val="annotation subject"/>
    <w:basedOn w:val="CommentText"/>
    <w:next w:val="CommentText"/>
    <w:link w:val="CommentSubjectChar"/>
    <w:uiPriority w:val="99"/>
    <w:unhideWhenUsed/>
    <w:rsid w:val="00EC1E60"/>
    <w:pPr>
      <w:widowControl w:val="0"/>
      <w:spacing w:line="360" w:lineRule="auto"/>
      <w:ind w:firstLineChars="200" w:firstLine="200"/>
    </w:pPr>
    <w:rPr>
      <w:rFonts w:asciiTheme="minorHAnsi" w:eastAsia="Times New Roman" w:hAnsiTheme="minorHAnsi" w:cstheme="minorBidi"/>
      <w:b/>
      <w:bCs/>
      <w:kern w:val="2"/>
      <w:sz w:val="24"/>
      <w:szCs w:val="22"/>
      <w:lang w:eastAsia="zh-CN"/>
    </w:rPr>
  </w:style>
  <w:style w:type="character" w:customStyle="1" w:styleId="CommentSubjectChar">
    <w:name w:val="Comment Subject Char"/>
    <w:basedOn w:val="CommentTextChar"/>
    <w:link w:val="CommentSubject"/>
    <w:uiPriority w:val="99"/>
    <w:rsid w:val="00EC1E60"/>
    <w:rPr>
      <w:rFonts w:asciiTheme="minorHAnsi" w:eastAsia="Times New Roman" w:hAnsiTheme="minorHAnsi" w:cstheme="minorBidi"/>
      <w:b/>
      <w:bCs/>
      <w:kern w:val="2"/>
      <w:sz w:val="24"/>
      <w:szCs w:val="22"/>
      <w:lang w:eastAsia="zh-CN"/>
    </w:rPr>
  </w:style>
  <w:style w:type="table" w:styleId="TableGrid">
    <w:name w:val="Table Grid"/>
    <w:basedOn w:val="TableNormal"/>
    <w:uiPriority w:val="39"/>
    <w:rsid w:val="00EC1E60"/>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0"/>
    <w:rsid w:val="00297305"/>
    <w:pPr>
      <w:widowControl w:val="0"/>
      <w:ind w:firstLineChars="200" w:firstLine="200"/>
      <w:jc w:val="center"/>
    </w:pPr>
    <w:rPr>
      <w:rFonts w:ascii="DengXian" w:eastAsia="DengXian" w:hAnsi="DengXian" w:cstheme="minorBidi"/>
      <w:noProof/>
      <w:kern w:val="2"/>
      <w:sz w:val="24"/>
      <w:szCs w:val="22"/>
      <w:lang w:eastAsia="zh-CN"/>
    </w:rPr>
  </w:style>
  <w:style w:type="character" w:customStyle="1" w:styleId="EndNoteBibliography0">
    <w:name w:val="EndNote Bibliography 字符"/>
    <w:basedOn w:val="DefaultParagraphFont"/>
    <w:link w:val="EndNoteBibliography"/>
    <w:rsid w:val="00297305"/>
    <w:rPr>
      <w:rFonts w:ascii="DengXian" w:eastAsia="DengXian" w:hAnsi="DengXian" w:cstheme="minorBidi"/>
      <w:noProof/>
      <w:kern w:val="2"/>
      <w:sz w:val="24"/>
      <w:szCs w:val="22"/>
      <w:lang w:eastAsia="zh-CN"/>
    </w:rPr>
  </w:style>
  <w:style w:type="paragraph" w:styleId="ListParagraph">
    <w:name w:val="List Paragraph"/>
    <w:basedOn w:val="Normal"/>
    <w:uiPriority w:val="72"/>
    <w:qFormat/>
    <w:rsid w:val="00EE169B"/>
    <w:pPr>
      <w:ind w:firstLineChars="200" w:firstLine="420"/>
    </w:pPr>
  </w:style>
  <w:style w:type="character" w:styleId="UnresolvedMention">
    <w:name w:val="Unresolved Mention"/>
    <w:basedOn w:val="DefaultParagraphFont"/>
    <w:uiPriority w:val="99"/>
    <w:semiHidden/>
    <w:unhideWhenUsed/>
    <w:rsid w:val="00A02FA3"/>
    <w:rPr>
      <w:color w:val="605E5C"/>
      <w:shd w:val="clear" w:color="auto" w:fill="E1DFDD"/>
    </w:rPr>
  </w:style>
  <w:style w:type="character" w:styleId="CommentReference">
    <w:name w:val="annotation reference"/>
    <w:basedOn w:val="DefaultParagraphFont"/>
    <w:uiPriority w:val="99"/>
    <w:rsid w:val="00D748BF"/>
    <w:rPr>
      <w:sz w:val="21"/>
      <w:szCs w:val="21"/>
    </w:rPr>
  </w:style>
  <w:style w:type="paragraph" w:customStyle="1" w:styleId="IETParagraph">
    <w:name w:val="IET Paragraph"/>
    <w:basedOn w:val="Normal"/>
    <w:qFormat/>
    <w:locked/>
    <w:rsid w:val="009926C5"/>
    <w:pPr>
      <w:spacing w:line="360" w:lineRule="auto"/>
      <w:ind w:firstLine="567"/>
      <w:jc w:val="both"/>
    </w:pPr>
    <w:rPr>
      <w:rFonts w:eastAsia="SimSun"/>
      <w:sz w:val="24"/>
      <w:szCs w:val="24"/>
      <w:lang w:val="en-AU" w:eastAsia="zh-CN"/>
    </w:rPr>
  </w:style>
  <w:style w:type="character" w:styleId="Strong">
    <w:name w:val="Strong"/>
    <w:basedOn w:val="DefaultParagraphFont"/>
    <w:uiPriority w:val="22"/>
    <w:qFormat/>
    <w:rsid w:val="00D329E7"/>
    <w:rPr>
      <w:b/>
      <w:bCs/>
    </w:rPr>
  </w:style>
  <w:style w:type="paragraph" w:customStyle="1" w:styleId="IETHeading2">
    <w:name w:val="IET Heading 2"/>
    <w:basedOn w:val="Normal"/>
    <w:qFormat/>
    <w:locked/>
    <w:rsid w:val="00672727"/>
    <w:pPr>
      <w:numPr>
        <w:numId w:val="10"/>
      </w:numPr>
    </w:pPr>
    <w:rPr>
      <w:rFonts w:ascii="Arial" w:eastAsia="SimSun" w:hAnsi="Arial"/>
      <w:i/>
      <w:sz w:val="22"/>
      <w:szCs w:val="24"/>
      <w:lang w:val="en-AU" w:eastAsia="zh-CN"/>
    </w:rPr>
  </w:style>
  <w:style w:type="character" w:customStyle="1" w:styleId="TitleChar">
    <w:name w:val="Title Char"/>
    <w:basedOn w:val="DefaultParagraphFont"/>
    <w:link w:val="Title"/>
    <w:rsid w:val="0090408E"/>
    <w:rPr>
      <w:kern w:val="28"/>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19495">
      <w:bodyDiv w:val="1"/>
      <w:marLeft w:val="0"/>
      <w:marRight w:val="0"/>
      <w:marTop w:val="0"/>
      <w:marBottom w:val="0"/>
      <w:divBdr>
        <w:top w:val="none" w:sz="0" w:space="0" w:color="auto"/>
        <w:left w:val="none" w:sz="0" w:space="0" w:color="auto"/>
        <w:bottom w:val="none" w:sz="0" w:space="0" w:color="auto"/>
        <w:right w:val="none" w:sz="0" w:space="0" w:color="auto"/>
      </w:divBdr>
    </w:div>
    <w:div w:id="79840712">
      <w:bodyDiv w:val="1"/>
      <w:marLeft w:val="0"/>
      <w:marRight w:val="0"/>
      <w:marTop w:val="0"/>
      <w:marBottom w:val="0"/>
      <w:divBdr>
        <w:top w:val="none" w:sz="0" w:space="0" w:color="auto"/>
        <w:left w:val="none" w:sz="0" w:space="0" w:color="auto"/>
        <w:bottom w:val="none" w:sz="0" w:space="0" w:color="auto"/>
        <w:right w:val="none" w:sz="0" w:space="0" w:color="auto"/>
      </w:divBdr>
    </w:div>
    <w:div w:id="100151038">
      <w:bodyDiv w:val="1"/>
      <w:marLeft w:val="0"/>
      <w:marRight w:val="0"/>
      <w:marTop w:val="0"/>
      <w:marBottom w:val="0"/>
      <w:divBdr>
        <w:top w:val="none" w:sz="0" w:space="0" w:color="auto"/>
        <w:left w:val="none" w:sz="0" w:space="0" w:color="auto"/>
        <w:bottom w:val="none" w:sz="0" w:space="0" w:color="auto"/>
        <w:right w:val="none" w:sz="0" w:space="0" w:color="auto"/>
      </w:divBdr>
    </w:div>
    <w:div w:id="116529458">
      <w:bodyDiv w:val="1"/>
      <w:marLeft w:val="0"/>
      <w:marRight w:val="0"/>
      <w:marTop w:val="0"/>
      <w:marBottom w:val="0"/>
      <w:divBdr>
        <w:top w:val="none" w:sz="0" w:space="0" w:color="auto"/>
        <w:left w:val="none" w:sz="0" w:space="0" w:color="auto"/>
        <w:bottom w:val="none" w:sz="0" w:space="0" w:color="auto"/>
        <w:right w:val="none" w:sz="0" w:space="0" w:color="auto"/>
      </w:divBdr>
    </w:div>
    <w:div w:id="202251860">
      <w:bodyDiv w:val="1"/>
      <w:marLeft w:val="0"/>
      <w:marRight w:val="0"/>
      <w:marTop w:val="0"/>
      <w:marBottom w:val="0"/>
      <w:divBdr>
        <w:top w:val="none" w:sz="0" w:space="0" w:color="auto"/>
        <w:left w:val="none" w:sz="0" w:space="0" w:color="auto"/>
        <w:bottom w:val="none" w:sz="0" w:space="0" w:color="auto"/>
        <w:right w:val="none" w:sz="0" w:space="0" w:color="auto"/>
      </w:divBdr>
    </w:div>
    <w:div w:id="239143477">
      <w:bodyDiv w:val="1"/>
      <w:marLeft w:val="0"/>
      <w:marRight w:val="0"/>
      <w:marTop w:val="0"/>
      <w:marBottom w:val="0"/>
      <w:divBdr>
        <w:top w:val="none" w:sz="0" w:space="0" w:color="auto"/>
        <w:left w:val="none" w:sz="0" w:space="0" w:color="auto"/>
        <w:bottom w:val="none" w:sz="0" w:space="0" w:color="auto"/>
        <w:right w:val="none" w:sz="0" w:space="0" w:color="auto"/>
      </w:divBdr>
    </w:div>
    <w:div w:id="409474404">
      <w:bodyDiv w:val="1"/>
      <w:marLeft w:val="0"/>
      <w:marRight w:val="0"/>
      <w:marTop w:val="0"/>
      <w:marBottom w:val="0"/>
      <w:divBdr>
        <w:top w:val="none" w:sz="0" w:space="0" w:color="auto"/>
        <w:left w:val="none" w:sz="0" w:space="0" w:color="auto"/>
        <w:bottom w:val="none" w:sz="0" w:space="0" w:color="auto"/>
        <w:right w:val="none" w:sz="0" w:space="0" w:color="auto"/>
      </w:divBdr>
    </w:div>
    <w:div w:id="465390371">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539903353">
      <w:bodyDiv w:val="1"/>
      <w:marLeft w:val="0"/>
      <w:marRight w:val="0"/>
      <w:marTop w:val="0"/>
      <w:marBottom w:val="0"/>
      <w:divBdr>
        <w:top w:val="none" w:sz="0" w:space="0" w:color="auto"/>
        <w:left w:val="none" w:sz="0" w:space="0" w:color="auto"/>
        <w:bottom w:val="none" w:sz="0" w:space="0" w:color="auto"/>
        <w:right w:val="none" w:sz="0" w:space="0" w:color="auto"/>
      </w:divBdr>
    </w:div>
    <w:div w:id="552155011">
      <w:bodyDiv w:val="1"/>
      <w:marLeft w:val="0"/>
      <w:marRight w:val="0"/>
      <w:marTop w:val="0"/>
      <w:marBottom w:val="0"/>
      <w:divBdr>
        <w:top w:val="none" w:sz="0" w:space="0" w:color="auto"/>
        <w:left w:val="none" w:sz="0" w:space="0" w:color="auto"/>
        <w:bottom w:val="none" w:sz="0" w:space="0" w:color="auto"/>
        <w:right w:val="none" w:sz="0" w:space="0" w:color="auto"/>
      </w:divBdr>
    </w:div>
    <w:div w:id="584922050">
      <w:bodyDiv w:val="1"/>
      <w:marLeft w:val="0"/>
      <w:marRight w:val="0"/>
      <w:marTop w:val="0"/>
      <w:marBottom w:val="0"/>
      <w:divBdr>
        <w:top w:val="none" w:sz="0" w:space="0" w:color="auto"/>
        <w:left w:val="none" w:sz="0" w:space="0" w:color="auto"/>
        <w:bottom w:val="none" w:sz="0" w:space="0" w:color="auto"/>
        <w:right w:val="none" w:sz="0" w:space="0" w:color="auto"/>
      </w:divBdr>
    </w:div>
    <w:div w:id="615673193">
      <w:bodyDiv w:val="1"/>
      <w:marLeft w:val="0"/>
      <w:marRight w:val="0"/>
      <w:marTop w:val="0"/>
      <w:marBottom w:val="0"/>
      <w:divBdr>
        <w:top w:val="none" w:sz="0" w:space="0" w:color="auto"/>
        <w:left w:val="none" w:sz="0" w:space="0" w:color="auto"/>
        <w:bottom w:val="none" w:sz="0" w:space="0" w:color="auto"/>
        <w:right w:val="none" w:sz="0" w:space="0" w:color="auto"/>
      </w:divBdr>
    </w:div>
    <w:div w:id="676081419">
      <w:bodyDiv w:val="1"/>
      <w:marLeft w:val="0"/>
      <w:marRight w:val="0"/>
      <w:marTop w:val="0"/>
      <w:marBottom w:val="0"/>
      <w:divBdr>
        <w:top w:val="none" w:sz="0" w:space="0" w:color="auto"/>
        <w:left w:val="none" w:sz="0" w:space="0" w:color="auto"/>
        <w:bottom w:val="none" w:sz="0" w:space="0" w:color="auto"/>
        <w:right w:val="none" w:sz="0" w:space="0" w:color="auto"/>
      </w:divBdr>
    </w:div>
    <w:div w:id="788202696">
      <w:bodyDiv w:val="1"/>
      <w:marLeft w:val="0"/>
      <w:marRight w:val="0"/>
      <w:marTop w:val="0"/>
      <w:marBottom w:val="0"/>
      <w:divBdr>
        <w:top w:val="none" w:sz="0" w:space="0" w:color="auto"/>
        <w:left w:val="none" w:sz="0" w:space="0" w:color="auto"/>
        <w:bottom w:val="none" w:sz="0" w:space="0" w:color="auto"/>
        <w:right w:val="none" w:sz="0" w:space="0" w:color="auto"/>
      </w:divBdr>
    </w:div>
    <w:div w:id="857161703">
      <w:bodyDiv w:val="1"/>
      <w:marLeft w:val="0"/>
      <w:marRight w:val="0"/>
      <w:marTop w:val="0"/>
      <w:marBottom w:val="0"/>
      <w:divBdr>
        <w:top w:val="none" w:sz="0" w:space="0" w:color="auto"/>
        <w:left w:val="none" w:sz="0" w:space="0" w:color="auto"/>
        <w:bottom w:val="none" w:sz="0" w:space="0" w:color="auto"/>
        <w:right w:val="none" w:sz="0" w:space="0" w:color="auto"/>
      </w:divBdr>
    </w:div>
    <w:div w:id="890649470">
      <w:bodyDiv w:val="1"/>
      <w:marLeft w:val="0"/>
      <w:marRight w:val="0"/>
      <w:marTop w:val="0"/>
      <w:marBottom w:val="0"/>
      <w:divBdr>
        <w:top w:val="none" w:sz="0" w:space="0" w:color="auto"/>
        <w:left w:val="none" w:sz="0" w:space="0" w:color="auto"/>
        <w:bottom w:val="none" w:sz="0" w:space="0" w:color="auto"/>
        <w:right w:val="none" w:sz="0" w:space="0" w:color="auto"/>
      </w:divBdr>
    </w:div>
    <w:div w:id="933902068">
      <w:bodyDiv w:val="1"/>
      <w:marLeft w:val="0"/>
      <w:marRight w:val="0"/>
      <w:marTop w:val="0"/>
      <w:marBottom w:val="0"/>
      <w:divBdr>
        <w:top w:val="none" w:sz="0" w:space="0" w:color="auto"/>
        <w:left w:val="none" w:sz="0" w:space="0" w:color="auto"/>
        <w:bottom w:val="none" w:sz="0" w:space="0" w:color="auto"/>
        <w:right w:val="none" w:sz="0" w:space="0" w:color="auto"/>
      </w:divBdr>
    </w:div>
    <w:div w:id="1007756709">
      <w:bodyDiv w:val="1"/>
      <w:marLeft w:val="0"/>
      <w:marRight w:val="0"/>
      <w:marTop w:val="0"/>
      <w:marBottom w:val="0"/>
      <w:divBdr>
        <w:top w:val="none" w:sz="0" w:space="0" w:color="auto"/>
        <w:left w:val="none" w:sz="0" w:space="0" w:color="auto"/>
        <w:bottom w:val="none" w:sz="0" w:space="0" w:color="auto"/>
        <w:right w:val="none" w:sz="0" w:space="0" w:color="auto"/>
      </w:divBdr>
    </w:div>
    <w:div w:id="1071737237">
      <w:bodyDiv w:val="1"/>
      <w:marLeft w:val="0"/>
      <w:marRight w:val="0"/>
      <w:marTop w:val="0"/>
      <w:marBottom w:val="0"/>
      <w:divBdr>
        <w:top w:val="none" w:sz="0" w:space="0" w:color="auto"/>
        <w:left w:val="none" w:sz="0" w:space="0" w:color="auto"/>
        <w:bottom w:val="none" w:sz="0" w:space="0" w:color="auto"/>
        <w:right w:val="none" w:sz="0" w:space="0" w:color="auto"/>
      </w:divBdr>
    </w:div>
    <w:div w:id="1115906362">
      <w:bodyDiv w:val="1"/>
      <w:marLeft w:val="0"/>
      <w:marRight w:val="0"/>
      <w:marTop w:val="0"/>
      <w:marBottom w:val="0"/>
      <w:divBdr>
        <w:top w:val="none" w:sz="0" w:space="0" w:color="auto"/>
        <w:left w:val="none" w:sz="0" w:space="0" w:color="auto"/>
        <w:bottom w:val="none" w:sz="0" w:space="0" w:color="auto"/>
        <w:right w:val="none" w:sz="0" w:space="0" w:color="auto"/>
      </w:divBdr>
    </w:div>
    <w:div w:id="1150437329">
      <w:bodyDiv w:val="1"/>
      <w:marLeft w:val="0"/>
      <w:marRight w:val="0"/>
      <w:marTop w:val="0"/>
      <w:marBottom w:val="0"/>
      <w:divBdr>
        <w:top w:val="none" w:sz="0" w:space="0" w:color="auto"/>
        <w:left w:val="none" w:sz="0" w:space="0" w:color="auto"/>
        <w:bottom w:val="none" w:sz="0" w:space="0" w:color="auto"/>
        <w:right w:val="none" w:sz="0" w:space="0" w:color="auto"/>
      </w:divBdr>
    </w:div>
    <w:div w:id="1186554749">
      <w:bodyDiv w:val="1"/>
      <w:marLeft w:val="0"/>
      <w:marRight w:val="0"/>
      <w:marTop w:val="0"/>
      <w:marBottom w:val="0"/>
      <w:divBdr>
        <w:top w:val="none" w:sz="0" w:space="0" w:color="auto"/>
        <w:left w:val="none" w:sz="0" w:space="0" w:color="auto"/>
        <w:bottom w:val="none" w:sz="0" w:space="0" w:color="auto"/>
        <w:right w:val="none" w:sz="0" w:space="0" w:color="auto"/>
      </w:divBdr>
    </w:div>
    <w:div w:id="1290237805">
      <w:bodyDiv w:val="1"/>
      <w:marLeft w:val="0"/>
      <w:marRight w:val="0"/>
      <w:marTop w:val="0"/>
      <w:marBottom w:val="0"/>
      <w:divBdr>
        <w:top w:val="none" w:sz="0" w:space="0" w:color="auto"/>
        <w:left w:val="none" w:sz="0" w:space="0" w:color="auto"/>
        <w:bottom w:val="none" w:sz="0" w:space="0" w:color="auto"/>
        <w:right w:val="none" w:sz="0" w:space="0" w:color="auto"/>
      </w:divBdr>
    </w:div>
    <w:div w:id="1298409377">
      <w:bodyDiv w:val="1"/>
      <w:marLeft w:val="0"/>
      <w:marRight w:val="0"/>
      <w:marTop w:val="0"/>
      <w:marBottom w:val="0"/>
      <w:divBdr>
        <w:top w:val="none" w:sz="0" w:space="0" w:color="auto"/>
        <w:left w:val="none" w:sz="0" w:space="0" w:color="auto"/>
        <w:bottom w:val="none" w:sz="0" w:space="0" w:color="auto"/>
        <w:right w:val="none" w:sz="0" w:space="0" w:color="auto"/>
      </w:divBdr>
    </w:div>
    <w:div w:id="1320385719">
      <w:bodyDiv w:val="1"/>
      <w:marLeft w:val="0"/>
      <w:marRight w:val="0"/>
      <w:marTop w:val="0"/>
      <w:marBottom w:val="0"/>
      <w:divBdr>
        <w:top w:val="none" w:sz="0" w:space="0" w:color="auto"/>
        <w:left w:val="none" w:sz="0" w:space="0" w:color="auto"/>
        <w:bottom w:val="none" w:sz="0" w:space="0" w:color="auto"/>
        <w:right w:val="none" w:sz="0" w:space="0" w:color="auto"/>
      </w:divBdr>
    </w:div>
    <w:div w:id="1335495947">
      <w:bodyDiv w:val="1"/>
      <w:marLeft w:val="0"/>
      <w:marRight w:val="0"/>
      <w:marTop w:val="0"/>
      <w:marBottom w:val="0"/>
      <w:divBdr>
        <w:top w:val="none" w:sz="0" w:space="0" w:color="auto"/>
        <w:left w:val="none" w:sz="0" w:space="0" w:color="auto"/>
        <w:bottom w:val="none" w:sz="0" w:space="0" w:color="auto"/>
        <w:right w:val="none" w:sz="0" w:space="0" w:color="auto"/>
      </w:divBdr>
    </w:div>
    <w:div w:id="1339308238">
      <w:bodyDiv w:val="1"/>
      <w:marLeft w:val="0"/>
      <w:marRight w:val="0"/>
      <w:marTop w:val="0"/>
      <w:marBottom w:val="0"/>
      <w:divBdr>
        <w:top w:val="none" w:sz="0" w:space="0" w:color="auto"/>
        <w:left w:val="none" w:sz="0" w:space="0" w:color="auto"/>
        <w:bottom w:val="none" w:sz="0" w:space="0" w:color="auto"/>
        <w:right w:val="none" w:sz="0" w:space="0" w:color="auto"/>
      </w:divBdr>
    </w:div>
    <w:div w:id="1362511739">
      <w:bodyDiv w:val="1"/>
      <w:marLeft w:val="0"/>
      <w:marRight w:val="0"/>
      <w:marTop w:val="0"/>
      <w:marBottom w:val="0"/>
      <w:divBdr>
        <w:top w:val="none" w:sz="0" w:space="0" w:color="auto"/>
        <w:left w:val="none" w:sz="0" w:space="0" w:color="auto"/>
        <w:bottom w:val="none" w:sz="0" w:space="0" w:color="auto"/>
        <w:right w:val="none" w:sz="0" w:space="0" w:color="auto"/>
      </w:divBdr>
    </w:div>
    <w:div w:id="1427849265">
      <w:bodyDiv w:val="1"/>
      <w:marLeft w:val="0"/>
      <w:marRight w:val="0"/>
      <w:marTop w:val="0"/>
      <w:marBottom w:val="0"/>
      <w:divBdr>
        <w:top w:val="none" w:sz="0" w:space="0" w:color="auto"/>
        <w:left w:val="none" w:sz="0" w:space="0" w:color="auto"/>
        <w:bottom w:val="none" w:sz="0" w:space="0" w:color="auto"/>
        <w:right w:val="none" w:sz="0" w:space="0" w:color="auto"/>
      </w:divBdr>
    </w:div>
    <w:div w:id="1459034095">
      <w:bodyDiv w:val="1"/>
      <w:marLeft w:val="0"/>
      <w:marRight w:val="0"/>
      <w:marTop w:val="0"/>
      <w:marBottom w:val="0"/>
      <w:divBdr>
        <w:top w:val="none" w:sz="0" w:space="0" w:color="auto"/>
        <w:left w:val="none" w:sz="0" w:space="0" w:color="auto"/>
        <w:bottom w:val="none" w:sz="0" w:space="0" w:color="auto"/>
        <w:right w:val="none" w:sz="0" w:space="0" w:color="auto"/>
      </w:divBdr>
    </w:div>
    <w:div w:id="1512645785">
      <w:bodyDiv w:val="1"/>
      <w:marLeft w:val="0"/>
      <w:marRight w:val="0"/>
      <w:marTop w:val="0"/>
      <w:marBottom w:val="0"/>
      <w:divBdr>
        <w:top w:val="none" w:sz="0" w:space="0" w:color="auto"/>
        <w:left w:val="none" w:sz="0" w:space="0" w:color="auto"/>
        <w:bottom w:val="none" w:sz="0" w:space="0" w:color="auto"/>
        <w:right w:val="none" w:sz="0" w:space="0" w:color="auto"/>
      </w:divBdr>
    </w:div>
    <w:div w:id="1563322604">
      <w:bodyDiv w:val="1"/>
      <w:marLeft w:val="0"/>
      <w:marRight w:val="0"/>
      <w:marTop w:val="0"/>
      <w:marBottom w:val="0"/>
      <w:divBdr>
        <w:top w:val="none" w:sz="0" w:space="0" w:color="auto"/>
        <w:left w:val="none" w:sz="0" w:space="0" w:color="auto"/>
        <w:bottom w:val="none" w:sz="0" w:space="0" w:color="auto"/>
        <w:right w:val="none" w:sz="0" w:space="0" w:color="auto"/>
      </w:divBdr>
    </w:div>
    <w:div w:id="1578516211">
      <w:bodyDiv w:val="1"/>
      <w:marLeft w:val="0"/>
      <w:marRight w:val="0"/>
      <w:marTop w:val="0"/>
      <w:marBottom w:val="0"/>
      <w:divBdr>
        <w:top w:val="none" w:sz="0" w:space="0" w:color="auto"/>
        <w:left w:val="none" w:sz="0" w:space="0" w:color="auto"/>
        <w:bottom w:val="none" w:sz="0" w:space="0" w:color="auto"/>
        <w:right w:val="none" w:sz="0" w:space="0" w:color="auto"/>
      </w:divBdr>
    </w:div>
    <w:div w:id="1587615237">
      <w:bodyDiv w:val="1"/>
      <w:marLeft w:val="0"/>
      <w:marRight w:val="0"/>
      <w:marTop w:val="0"/>
      <w:marBottom w:val="0"/>
      <w:divBdr>
        <w:top w:val="none" w:sz="0" w:space="0" w:color="auto"/>
        <w:left w:val="none" w:sz="0" w:space="0" w:color="auto"/>
        <w:bottom w:val="none" w:sz="0" w:space="0" w:color="auto"/>
        <w:right w:val="none" w:sz="0" w:space="0" w:color="auto"/>
      </w:divBdr>
    </w:div>
    <w:div w:id="1589145691">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44570429">
      <w:bodyDiv w:val="1"/>
      <w:marLeft w:val="0"/>
      <w:marRight w:val="0"/>
      <w:marTop w:val="0"/>
      <w:marBottom w:val="0"/>
      <w:divBdr>
        <w:top w:val="none" w:sz="0" w:space="0" w:color="auto"/>
        <w:left w:val="none" w:sz="0" w:space="0" w:color="auto"/>
        <w:bottom w:val="none" w:sz="0" w:space="0" w:color="auto"/>
        <w:right w:val="none" w:sz="0" w:space="0" w:color="auto"/>
      </w:divBdr>
    </w:div>
    <w:div w:id="1753358118">
      <w:bodyDiv w:val="1"/>
      <w:marLeft w:val="0"/>
      <w:marRight w:val="0"/>
      <w:marTop w:val="0"/>
      <w:marBottom w:val="0"/>
      <w:divBdr>
        <w:top w:val="none" w:sz="0" w:space="0" w:color="auto"/>
        <w:left w:val="none" w:sz="0" w:space="0" w:color="auto"/>
        <w:bottom w:val="none" w:sz="0" w:space="0" w:color="auto"/>
        <w:right w:val="none" w:sz="0" w:space="0" w:color="auto"/>
      </w:divBdr>
    </w:div>
    <w:div w:id="1753618492">
      <w:bodyDiv w:val="1"/>
      <w:marLeft w:val="0"/>
      <w:marRight w:val="0"/>
      <w:marTop w:val="0"/>
      <w:marBottom w:val="0"/>
      <w:divBdr>
        <w:top w:val="none" w:sz="0" w:space="0" w:color="auto"/>
        <w:left w:val="none" w:sz="0" w:space="0" w:color="auto"/>
        <w:bottom w:val="none" w:sz="0" w:space="0" w:color="auto"/>
        <w:right w:val="none" w:sz="0" w:space="0" w:color="auto"/>
      </w:divBdr>
    </w:div>
    <w:div w:id="1793085652">
      <w:bodyDiv w:val="1"/>
      <w:marLeft w:val="0"/>
      <w:marRight w:val="0"/>
      <w:marTop w:val="0"/>
      <w:marBottom w:val="0"/>
      <w:divBdr>
        <w:top w:val="none" w:sz="0" w:space="0" w:color="auto"/>
        <w:left w:val="none" w:sz="0" w:space="0" w:color="auto"/>
        <w:bottom w:val="none" w:sz="0" w:space="0" w:color="auto"/>
        <w:right w:val="none" w:sz="0" w:space="0" w:color="auto"/>
      </w:divBdr>
    </w:div>
    <w:div w:id="2057075331">
      <w:bodyDiv w:val="1"/>
      <w:marLeft w:val="0"/>
      <w:marRight w:val="0"/>
      <w:marTop w:val="0"/>
      <w:marBottom w:val="0"/>
      <w:divBdr>
        <w:top w:val="none" w:sz="0" w:space="0" w:color="auto"/>
        <w:left w:val="none" w:sz="0" w:space="0" w:color="auto"/>
        <w:bottom w:val="none" w:sz="0" w:space="0" w:color="auto"/>
        <w:right w:val="none" w:sz="0" w:space="0" w:color="auto"/>
      </w:divBdr>
    </w:div>
    <w:div w:id="2065986735">
      <w:bodyDiv w:val="1"/>
      <w:marLeft w:val="0"/>
      <w:marRight w:val="0"/>
      <w:marTop w:val="0"/>
      <w:marBottom w:val="0"/>
      <w:divBdr>
        <w:top w:val="none" w:sz="0" w:space="0" w:color="auto"/>
        <w:left w:val="none" w:sz="0" w:space="0" w:color="auto"/>
        <w:bottom w:val="none" w:sz="0" w:space="0" w:color="auto"/>
        <w:right w:val="none" w:sz="0" w:space="0" w:color="auto"/>
      </w:divBdr>
    </w:div>
    <w:div w:id="213470991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chemeClr val="tx1"/>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文档" ma:contentTypeID="0x010100D2824E84BAB6494CA534F55E711261AF" ma:contentTypeVersion="10" ma:contentTypeDescription="新建文档。" ma:contentTypeScope="" ma:versionID="94310f83b7714b91494a94cb7ab96a24">
  <xsd:schema xmlns:xsd="http://www.w3.org/2001/XMLSchema" xmlns:xs="http://www.w3.org/2001/XMLSchema" xmlns:p="http://schemas.microsoft.com/office/2006/metadata/properties" xmlns:ns3="01068b59-f296-41b1-875e-9bdf7d6655ad" targetNamespace="http://schemas.microsoft.com/office/2006/metadata/properties" ma:root="true" ma:fieldsID="e08095591aff2866115d4c15ac408ca8" ns3:_="">
    <xsd:import namespace="01068b59-f296-41b1-875e-9bdf7d6655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68b59-f296-41b1-875e-9bdf7d665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2D6A87-6E37-4495-A147-DC1946E94BCC}">
  <ds:schemaRefs>
    <ds:schemaRef ds:uri="http://schemas.microsoft.com/sharepoint/v3/contenttype/forms"/>
  </ds:schemaRefs>
</ds:datastoreItem>
</file>

<file path=customXml/itemProps2.xml><?xml version="1.0" encoding="utf-8"?>
<ds:datastoreItem xmlns:ds="http://schemas.openxmlformats.org/officeDocument/2006/customXml" ds:itemID="{9296C3E9-122E-467F-943F-946511EB2916}">
  <ds:schemaRefs>
    <ds:schemaRef ds:uri="http://schemas.openxmlformats.org/officeDocument/2006/bibliography"/>
  </ds:schemaRefs>
</ds:datastoreItem>
</file>

<file path=customXml/itemProps3.xml><?xml version="1.0" encoding="utf-8"?>
<ds:datastoreItem xmlns:ds="http://schemas.openxmlformats.org/officeDocument/2006/customXml" ds:itemID="{0864969E-82B4-435F-898D-71653196486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5BD57D-9D46-4EC9-B3E2-DFBB99082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68b59-f296-41b1-875e-9bdf7d665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1875</TotalTime>
  <Pages>1</Pages>
  <Words>278</Words>
  <Characters>1589</Characters>
  <Application>Microsoft Office Word</Application>
  <DocSecurity>0</DocSecurity>
  <Lines>13</Lines>
  <Paragraphs>3</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vt:lpstr>
      <vt:lpstr>Nomenclature</vt:lpstr>
      <vt:lpstr>    Indices and Sets</vt:lpstr>
      <vt:lpstr>    Parameters</vt:lpstr>
      <vt:lpstr>    Variables</vt:lpstr>
      <vt:lpstr>Introduction</vt:lpstr>
      <vt:lpstr>Planning Framework of Microgrids With High Penetrations of RES</vt:lpstr>
      <vt:lpstr>    Formulation of Microgrid Planning Problem</vt:lpstr>
      <vt:lpstr>Full Data-driven Planning Method</vt:lpstr>
      <vt:lpstr>    Two-stage Data Processing Approach</vt:lpstr>
      <vt:lpstr>    Full Planning Horizon Model</vt:lpstr>
      <vt:lpstr>Case Study</vt:lpstr>
      <vt:lpstr>    Case Description</vt:lpstr>
      <vt:lpstr>    Approximation Accuracy</vt:lpstr>
      <vt:lpstr>    Comparison of Planning Results</vt:lpstr>
      <vt:lpstr>    Analysis of the Number of Operating Points</vt:lpstr>
      <vt:lpstr>Conclusion</vt:lpstr>
      <vt:lpstr>References </vt:lpstr>
    </vt:vector>
  </TitlesOfParts>
  <Company>IEEE</Company>
  <LinksUpToDate>false</LinksUpToDate>
  <CharactersWithSpaces>1864</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dc:description/>
  <cp:lastModifiedBy>M. Shahidehpour</cp:lastModifiedBy>
  <cp:revision>69</cp:revision>
  <cp:lastPrinted>2012-08-02T18:53:00Z</cp:lastPrinted>
  <dcterms:created xsi:type="dcterms:W3CDTF">2020-10-08T10:36:00Z</dcterms:created>
  <dcterms:modified xsi:type="dcterms:W3CDTF">2020-10-22T16:01:00Z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0x010100D2824E84BAB6494CA534F55E711261AF</vt:lpwstr>
  </property>
</Properties>
</file>